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746" w:rsidRDefault="00552746" w:rsidP="00552746">
      <w:pPr>
        <w:jc w:val="center"/>
        <w:rPr>
          <w:color w:val="1F497D" w:themeColor="text2"/>
          <w:sz w:val="32"/>
          <w:szCs w:val="32"/>
        </w:rPr>
      </w:pPr>
      <w:r>
        <w:rPr>
          <w:noProof/>
          <w:color w:val="1F497D" w:themeColor="text2"/>
          <w:sz w:val="32"/>
          <w:szCs w:val="32"/>
          <w:lang w:eastAsia="fr-FR"/>
        </w:rPr>
        <w:drawing>
          <wp:inline distT="0" distB="0" distL="0" distR="0">
            <wp:extent cx="19907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4">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p w:rsidR="00552746" w:rsidRPr="00552746" w:rsidRDefault="00552746" w:rsidP="00552746">
      <w:pPr>
        <w:jc w:val="center"/>
        <w:rPr>
          <w:rFonts w:ascii="DejaVu Sans" w:eastAsia="Adobe Heiti Std R" w:hAnsi="DejaVu Sans" w:cs="DejaVu Sans"/>
          <w:color w:val="1F497D" w:themeColor="text2"/>
          <w:sz w:val="36"/>
          <w:szCs w:val="36"/>
        </w:rPr>
      </w:pPr>
      <w:r w:rsidRPr="00552746">
        <w:rPr>
          <w:rFonts w:ascii="DejaVu Sans" w:eastAsia="Adobe Heiti Std R" w:hAnsi="DejaVu Sans" w:cs="DejaVu Sans"/>
          <w:color w:val="1F497D" w:themeColor="text2"/>
          <w:sz w:val="36"/>
          <w:szCs w:val="36"/>
        </w:rPr>
        <w:t>Règlement</w:t>
      </w:r>
      <w:r w:rsidR="002B1DEE">
        <w:rPr>
          <w:rFonts w:ascii="DejaVu Sans" w:eastAsia="Adobe Heiti Std R" w:hAnsi="DejaVu Sans" w:cs="DejaVu Sans"/>
          <w:color w:val="1F497D" w:themeColor="text2"/>
          <w:sz w:val="36"/>
          <w:szCs w:val="36"/>
        </w:rPr>
        <w:t xml:space="preserve">  technique auto-</w:t>
      </w:r>
      <w:r w:rsidR="00885875" w:rsidRPr="00552746">
        <w:rPr>
          <w:rFonts w:ascii="DejaVu Sans" w:eastAsia="Adobe Heiti Std R" w:hAnsi="DejaVu Sans" w:cs="DejaVu Sans"/>
          <w:color w:val="1F497D" w:themeColor="text2"/>
          <w:sz w:val="36"/>
          <w:szCs w:val="36"/>
        </w:rPr>
        <w:t xml:space="preserve">camion </w:t>
      </w:r>
    </w:p>
    <w:p w:rsidR="00885875" w:rsidRDefault="00885875" w:rsidP="00552746">
      <w:pPr>
        <w:jc w:val="center"/>
        <w:rPr>
          <w:rFonts w:ascii="DejaVu Sans" w:eastAsia="Adobe Heiti Std R" w:hAnsi="DejaVu Sans" w:cs="DejaVu Sans"/>
          <w:color w:val="1F497D" w:themeColor="text2"/>
          <w:sz w:val="36"/>
          <w:szCs w:val="36"/>
        </w:rPr>
      </w:pPr>
      <w:r w:rsidRPr="00552746">
        <w:rPr>
          <w:rFonts w:ascii="DejaVu Sans" w:eastAsia="Adobe Heiti Std R" w:hAnsi="DejaVu Sans" w:cs="DejaVu Sans"/>
          <w:color w:val="1F497D" w:themeColor="text2"/>
          <w:sz w:val="36"/>
          <w:szCs w:val="36"/>
        </w:rPr>
        <w:t>9eme.rallye des Pionniers</w:t>
      </w:r>
    </w:p>
    <w:p w:rsidR="002927AB" w:rsidRPr="002927AB" w:rsidRDefault="002927AB" w:rsidP="00552746">
      <w:pPr>
        <w:jc w:val="center"/>
        <w:rPr>
          <w:rFonts w:ascii="DejaVu Sans" w:eastAsia="Adobe Heiti Std R" w:hAnsi="DejaVu Sans" w:cs="DejaVu Sans"/>
          <w:color w:val="1F497D" w:themeColor="text2"/>
          <w:sz w:val="32"/>
          <w:szCs w:val="32"/>
        </w:rPr>
      </w:pPr>
      <w:r w:rsidRPr="002927AB">
        <w:rPr>
          <w:rFonts w:ascii="DejaVu Sans" w:eastAsia="Adobe Heiti Std R" w:hAnsi="DejaVu Sans" w:cs="DejaVu Sans"/>
          <w:color w:val="1F497D" w:themeColor="text2"/>
          <w:sz w:val="32"/>
          <w:szCs w:val="32"/>
        </w:rPr>
        <w:t>PARIS-NADOR-DAKHLA</w:t>
      </w:r>
    </w:p>
    <w:p w:rsidR="00885875" w:rsidRPr="00885875" w:rsidRDefault="00885875" w:rsidP="00885875">
      <w:pPr>
        <w:rPr>
          <w:color w:val="1F497D" w:themeColor="text2"/>
          <w:sz w:val="28"/>
          <w:szCs w:val="28"/>
        </w:rPr>
      </w:pPr>
      <w:r w:rsidRPr="00885875">
        <w:rPr>
          <w:color w:val="1F497D" w:themeColor="text2"/>
          <w:sz w:val="28"/>
          <w:szCs w:val="28"/>
        </w:rPr>
        <w:t>-Article 1</w:t>
      </w:r>
    </w:p>
    <w:p w:rsidR="00885875" w:rsidRPr="00885875" w:rsidRDefault="00885875" w:rsidP="00885875">
      <w:pPr>
        <w:rPr>
          <w:sz w:val="24"/>
          <w:szCs w:val="24"/>
        </w:rPr>
      </w:pPr>
      <w:r w:rsidRPr="00885875">
        <w:rPr>
          <w:sz w:val="24"/>
          <w:szCs w:val="24"/>
        </w:rPr>
        <w:t>Le rallye</w:t>
      </w:r>
      <w:r w:rsidR="00552746">
        <w:rPr>
          <w:sz w:val="24"/>
          <w:szCs w:val="24"/>
        </w:rPr>
        <w:t xml:space="preserve"> des pionniers est une épreuve </w:t>
      </w:r>
      <w:r w:rsidRPr="00885875">
        <w:rPr>
          <w:sz w:val="24"/>
          <w:szCs w:val="24"/>
        </w:rPr>
        <w:t xml:space="preserve"> </w:t>
      </w:r>
      <w:r w:rsidR="002B1DEE" w:rsidRPr="00885875">
        <w:rPr>
          <w:sz w:val="24"/>
          <w:szCs w:val="24"/>
        </w:rPr>
        <w:t>destin</w:t>
      </w:r>
      <w:r w:rsidR="002B1DEE">
        <w:rPr>
          <w:sz w:val="24"/>
          <w:szCs w:val="24"/>
        </w:rPr>
        <w:t xml:space="preserve">ée </w:t>
      </w:r>
      <w:r w:rsidRPr="00885875">
        <w:rPr>
          <w:sz w:val="24"/>
          <w:szCs w:val="24"/>
        </w:rPr>
        <w:t xml:space="preserve">aux véhicules dits historiques (ayant participé aux rallyes raids dans la période autorisée ou aux répliques de ces dits véhicules immatricules de 1979 à </w:t>
      </w:r>
      <w:r>
        <w:rPr>
          <w:sz w:val="24"/>
          <w:szCs w:val="24"/>
        </w:rPr>
        <w:t>2012</w:t>
      </w:r>
      <w:r w:rsidRPr="00885875">
        <w:rPr>
          <w:sz w:val="24"/>
          <w:szCs w:val="24"/>
        </w:rPr>
        <w:t>. Ces véhicules doivent répondre aux normes de sécurité imposées par la Convention  internationale  sur  la circulation  routière, dûment munis d’un certificat d’immatriculation et d’une assurance en cours de validité ainsi qu’un  contrôle technique du pays d’origine en cours de validité.</w:t>
      </w:r>
    </w:p>
    <w:p w:rsidR="00885875" w:rsidRPr="00885875" w:rsidRDefault="00885875" w:rsidP="00885875">
      <w:pPr>
        <w:rPr>
          <w:sz w:val="24"/>
          <w:szCs w:val="24"/>
        </w:rPr>
      </w:pPr>
      <w:r w:rsidRPr="00885875">
        <w:rPr>
          <w:sz w:val="24"/>
          <w:szCs w:val="24"/>
        </w:rPr>
        <w:t xml:space="preserve">Les véhicules répliqués doivent </w:t>
      </w:r>
      <w:r>
        <w:rPr>
          <w:sz w:val="24"/>
          <w:szCs w:val="24"/>
        </w:rPr>
        <w:t xml:space="preserve">être </w:t>
      </w:r>
      <w:r w:rsidRPr="00885875">
        <w:rPr>
          <w:sz w:val="24"/>
          <w:szCs w:val="24"/>
        </w:rPr>
        <w:t xml:space="preserve"> inspiré</w:t>
      </w:r>
      <w:r w:rsidR="00552746">
        <w:rPr>
          <w:sz w:val="24"/>
          <w:szCs w:val="24"/>
        </w:rPr>
        <w:t>s</w:t>
      </w:r>
      <w:r w:rsidRPr="00885875">
        <w:rPr>
          <w:sz w:val="24"/>
          <w:szCs w:val="24"/>
        </w:rPr>
        <w:t xml:space="preserve"> des modèles d’époque. L’organisateur pourra refuser d’admettre une voiture qui ne satisfait pas à l’esprit et à l’aspect de la période donnée.</w:t>
      </w:r>
    </w:p>
    <w:p w:rsidR="00885875" w:rsidRPr="00885875" w:rsidRDefault="00885875" w:rsidP="00885875">
      <w:pPr>
        <w:rPr>
          <w:sz w:val="24"/>
          <w:szCs w:val="24"/>
        </w:rPr>
      </w:pPr>
      <w:r w:rsidRPr="00885875">
        <w:rPr>
          <w:sz w:val="24"/>
          <w:szCs w:val="24"/>
        </w:rPr>
        <w:t>L’organisateur fournira   aux  vérifications  techniques  à  chaque  équipage  un  ensemble  de stickers à poser obligatoirement pendant toute la durée de l’épreuve :   1 bandeau pare-brise, 2 plaques Rallye, à l’avant et à l’arrière du véhicule, deux plaques rallye sur les portières avant et quelques logos de sponsor.</w:t>
      </w:r>
    </w:p>
    <w:p w:rsidR="00885875" w:rsidRPr="00885875" w:rsidRDefault="00885875" w:rsidP="00885875">
      <w:pPr>
        <w:rPr>
          <w:color w:val="1F497D" w:themeColor="text2"/>
          <w:sz w:val="28"/>
          <w:szCs w:val="28"/>
        </w:rPr>
      </w:pPr>
      <w:r w:rsidRPr="00885875">
        <w:rPr>
          <w:color w:val="1F497D" w:themeColor="text2"/>
          <w:sz w:val="28"/>
          <w:szCs w:val="28"/>
        </w:rPr>
        <w:t>-Article 2</w:t>
      </w:r>
    </w:p>
    <w:p w:rsidR="00885875" w:rsidRPr="00885875" w:rsidRDefault="00885875" w:rsidP="00885875">
      <w:pPr>
        <w:rPr>
          <w:sz w:val="24"/>
          <w:szCs w:val="24"/>
        </w:rPr>
      </w:pPr>
      <w:r w:rsidRPr="00885875">
        <w:rPr>
          <w:sz w:val="24"/>
          <w:szCs w:val="24"/>
        </w:rPr>
        <w:t>Le montage d'une armature multitubulaire « arceau de sécurité » est obligatoire.</w:t>
      </w:r>
    </w:p>
    <w:p w:rsidR="00885875" w:rsidRPr="00885875" w:rsidRDefault="00885875" w:rsidP="00885875">
      <w:pPr>
        <w:rPr>
          <w:sz w:val="24"/>
          <w:szCs w:val="24"/>
        </w:rPr>
      </w:pPr>
      <w:r w:rsidRPr="00885875">
        <w:rPr>
          <w:sz w:val="24"/>
          <w:szCs w:val="24"/>
        </w:rPr>
        <w:t>L’arceau  doit être   installé dans l'habitacle au plus près de coque ça la fonction est de limiter les déformations de la coque (châssis) en cas d'accident.</w:t>
      </w:r>
    </w:p>
    <w:p w:rsidR="00885875" w:rsidRPr="00885875" w:rsidRDefault="00885875" w:rsidP="00885875">
      <w:pPr>
        <w:rPr>
          <w:sz w:val="24"/>
          <w:szCs w:val="24"/>
        </w:rPr>
      </w:pPr>
      <w:r w:rsidRPr="00885875">
        <w:rPr>
          <w:sz w:val="24"/>
          <w:szCs w:val="24"/>
        </w:rPr>
        <w:t>Seuls les arceaux homologués FIA ou ayant été homologué</w:t>
      </w:r>
      <w:r w:rsidR="00552746">
        <w:rPr>
          <w:sz w:val="24"/>
          <w:szCs w:val="24"/>
        </w:rPr>
        <w:t>s</w:t>
      </w:r>
      <w:r w:rsidRPr="00885875">
        <w:rPr>
          <w:sz w:val="24"/>
          <w:szCs w:val="24"/>
        </w:rPr>
        <w:t xml:space="preserve"> par une fédération ainsi que les arceaux fournis par les professionnels du secteur sont autorisés.</w:t>
      </w:r>
    </w:p>
    <w:p w:rsidR="00885875" w:rsidRPr="00885875" w:rsidRDefault="00885875" w:rsidP="00885875">
      <w:pPr>
        <w:rPr>
          <w:sz w:val="24"/>
          <w:szCs w:val="24"/>
        </w:rPr>
      </w:pPr>
      <w:r w:rsidRPr="00885875">
        <w:rPr>
          <w:sz w:val="24"/>
          <w:szCs w:val="24"/>
        </w:rPr>
        <w:lastRenderedPageBreak/>
        <w:t>Les arceaux de fabrication artisanale doivent se reporter à l’annexe  «  J » du règlement de la fédération du sport automobile pour concevoir l’armatu</w:t>
      </w:r>
      <w:r w:rsidR="002B1DEE">
        <w:rPr>
          <w:sz w:val="24"/>
          <w:szCs w:val="24"/>
        </w:rPr>
        <w:t>re selon les schémas représenté</w:t>
      </w:r>
      <w:r w:rsidRPr="00885875">
        <w:rPr>
          <w:sz w:val="24"/>
          <w:szCs w:val="24"/>
        </w:rPr>
        <w:t xml:space="preserve"> par le règlement.  </w:t>
      </w:r>
    </w:p>
    <w:p w:rsidR="00885875" w:rsidRPr="00885875" w:rsidRDefault="00885875" w:rsidP="00885875">
      <w:pPr>
        <w:rPr>
          <w:sz w:val="24"/>
          <w:szCs w:val="24"/>
        </w:rPr>
      </w:pPr>
      <w:r w:rsidRPr="00885875">
        <w:rPr>
          <w:sz w:val="24"/>
          <w:szCs w:val="24"/>
        </w:rPr>
        <w:t>Seuls les tubes d’une résistance supérieurs à 350 N/mm² sont autorisés (tubes-tu 37b ou 25cd4s, tube sans soudure étiré à froid).</w:t>
      </w:r>
    </w:p>
    <w:p w:rsidR="00885875" w:rsidRPr="00885875" w:rsidRDefault="00885875" w:rsidP="00885875">
      <w:pPr>
        <w:rPr>
          <w:color w:val="C00000"/>
          <w:sz w:val="24"/>
          <w:szCs w:val="24"/>
        </w:rPr>
      </w:pPr>
      <w:r w:rsidRPr="00885875">
        <w:rPr>
          <w:color w:val="C00000"/>
          <w:sz w:val="24"/>
          <w:szCs w:val="24"/>
        </w:rPr>
        <w:t>Sont interdit</w:t>
      </w:r>
      <w:r w:rsidR="00552746">
        <w:rPr>
          <w:color w:val="C00000"/>
          <w:sz w:val="24"/>
          <w:szCs w:val="24"/>
        </w:rPr>
        <w:t>s</w:t>
      </w:r>
      <w:r w:rsidRPr="00885875">
        <w:rPr>
          <w:color w:val="C00000"/>
          <w:sz w:val="24"/>
          <w:szCs w:val="24"/>
        </w:rPr>
        <w:t xml:space="preserve">, pour des raisons évidentes de sécurité, les tubes chauffage sans soudure étirée </w:t>
      </w:r>
      <w:r w:rsidR="00552746">
        <w:rPr>
          <w:color w:val="C00000"/>
          <w:sz w:val="24"/>
          <w:szCs w:val="24"/>
        </w:rPr>
        <w:t xml:space="preserve"> à c</w:t>
      </w:r>
      <w:r w:rsidR="00552746" w:rsidRPr="00885875">
        <w:rPr>
          <w:color w:val="C00000"/>
          <w:sz w:val="24"/>
          <w:szCs w:val="24"/>
        </w:rPr>
        <w:t>haud</w:t>
      </w:r>
      <w:r w:rsidRPr="00885875">
        <w:rPr>
          <w:color w:val="C00000"/>
          <w:sz w:val="24"/>
          <w:szCs w:val="24"/>
        </w:rPr>
        <w:t xml:space="preserve">, les tubes type chauffage, les tubes soudés dans la longueur. </w:t>
      </w:r>
    </w:p>
    <w:p w:rsidR="00885875" w:rsidRPr="00885875" w:rsidRDefault="00885875" w:rsidP="00885875">
      <w:pPr>
        <w:rPr>
          <w:sz w:val="24"/>
          <w:szCs w:val="24"/>
        </w:rPr>
      </w:pPr>
      <w:r w:rsidRPr="00885875">
        <w:rPr>
          <w:sz w:val="24"/>
          <w:szCs w:val="24"/>
        </w:rPr>
        <w:t>Les véhicules doivent être obligatoirement muni</w:t>
      </w:r>
      <w:r w:rsidR="002B1DEE">
        <w:rPr>
          <w:sz w:val="24"/>
          <w:szCs w:val="24"/>
        </w:rPr>
        <w:t>s</w:t>
      </w:r>
      <w:r w:rsidRPr="00885875">
        <w:rPr>
          <w:sz w:val="24"/>
          <w:szCs w:val="24"/>
        </w:rPr>
        <w:t xml:space="preserve"> de harnais de sécurité  homologuée ou ayant été homologué FIA. Leur état doit être correct et le mécanisme de la boucle ne doit présenter aucun défaut. Le port du harnais est obligatoire durant toute l’épreuve et en  toutes circonstances.</w:t>
      </w:r>
    </w:p>
    <w:p w:rsidR="00885875" w:rsidRPr="00885875" w:rsidRDefault="00885875" w:rsidP="00885875">
      <w:pPr>
        <w:rPr>
          <w:sz w:val="24"/>
          <w:szCs w:val="24"/>
        </w:rPr>
      </w:pPr>
      <w:r w:rsidRPr="00885875">
        <w:rPr>
          <w:sz w:val="24"/>
          <w:szCs w:val="24"/>
        </w:rPr>
        <w:t>Le montage de sièges baquets et très fortement recommander, toutefois les sièges semi-baquets réglables sont autorisés.</w:t>
      </w:r>
    </w:p>
    <w:p w:rsidR="00885875" w:rsidRPr="00885875" w:rsidRDefault="00885875" w:rsidP="00885875">
      <w:pPr>
        <w:rPr>
          <w:sz w:val="24"/>
          <w:szCs w:val="24"/>
        </w:rPr>
      </w:pPr>
      <w:r w:rsidRPr="00885875">
        <w:rPr>
          <w:sz w:val="24"/>
          <w:szCs w:val="24"/>
        </w:rPr>
        <w:t>Les véhicules do</w:t>
      </w:r>
      <w:r w:rsidR="002B1DEE">
        <w:rPr>
          <w:sz w:val="24"/>
          <w:szCs w:val="24"/>
        </w:rPr>
        <w:t>ivent être obligatoirement muni</w:t>
      </w:r>
      <w:r w:rsidRPr="00885875">
        <w:rPr>
          <w:sz w:val="24"/>
          <w:szCs w:val="24"/>
        </w:rPr>
        <w:t>s  de deux extincteurs homologués de deux « 2 » kilos chacun en cours de validité. Les extincteurs doivent être fixés solidement au plancher de l’habitacle et facilement accessible en cas de nécessité.</w:t>
      </w:r>
    </w:p>
    <w:p w:rsidR="00885875" w:rsidRPr="00885875" w:rsidRDefault="00885875" w:rsidP="00885875">
      <w:pPr>
        <w:rPr>
          <w:sz w:val="24"/>
          <w:szCs w:val="24"/>
        </w:rPr>
      </w:pPr>
      <w:r w:rsidRPr="00885875">
        <w:rPr>
          <w:sz w:val="24"/>
          <w:szCs w:val="24"/>
        </w:rPr>
        <w:t>Le port du casque est obligatoire durant toute l’épreuve.</w:t>
      </w:r>
    </w:p>
    <w:p w:rsidR="00885875" w:rsidRPr="00885875" w:rsidRDefault="00885875" w:rsidP="00885875">
      <w:pPr>
        <w:rPr>
          <w:sz w:val="24"/>
          <w:szCs w:val="24"/>
        </w:rPr>
      </w:pPr>
      <w:r w:rsidRPr="00885875">
        <w:rPr>
          <w:sz w:val="24"/>
          <w:szCs w:val="24"/>
        </w:rPr>
        <w:t>Seuls les casques réservés à la pratique de sport automobile homologu</w:t>
      </w:r>
      <w:r w:rsidR="002B1DEE">
        <w:rPr>
          <w:sz w:val="24"/>
          <w:szCs w:val="24"/>
        </w:rPr>
        <w:t>és</w:t>
      </w:r>
      <w:r w:rsidRPr="00885875">
        <w:rPr>
          <w:sz w:val="24"/>
          <w:szCs w:val="24"/>
        </w:rPr>
        <w:t xml:space="preserve"> ou ayant été homologu</w:t>
      </w:r>
      <w:r w:rsidR="002B1DEE">
        <w:rPr>
          <w:sz w:val="24"/>
          <w:szCs w:val="24"/>
        </w:rPr>
        <w:t>és</w:t>
      </w:r>
      <w:r w:rsidRPr="00885875">
        <w:rPr>
          <w:sz w:val="24"/>
          <w:szCs w:val="24"/>
        </w:rPr>
        <w:t xml:space="preserve"> sont acceptables. Le casque doit être en bon état, ne présenter aucune déformation ou fissure, la boucle de serrage doit être en parfait état.</w:t>
      </w:r>
    </w:p>
    <w:p w:rsidR="00885875" w:rsidRPr="00885875" w:rsidRDefault="00885875" w:rsidP="00885875">
      <w:pPr>
        <w:rPr>
          <w:sz w:val="24"/>
          <w:szCs w:val="24"/>
        </w:rPr>
      </w:pPr>
      <w:r w:rsidRPr="00885875">
        <w:rPr>
          <w:sz w:val="24"/>
          <w:szCs w:val="24"/>
        </w:rPr>
        <w:t xml:space="preserve">La batterie doit être solidement fixée dans son logement d’origine ou dans un bac à batterie. </w:t>
      </w:r>
    </w:p>
    <w:p w:rsidR="00885875" w:rsidRPr="00885875" w:rsidRDefault="00885875" w:rsidP="00885875">
      <w:pPr>
        <w:rPr>
          <w:color w:val="1F497D" w:themeColor="text2"/>
          <w:sz w:val="28"/>
          <w:szCs w:val="28"/>
        </w:rPr>
      </w:pPr>
      <w:r w:rsidRPr="00885875">
        <w:rPr>
          <w:color w:val="1F497D" w:themeColor="text2"/>
          <w:sz w:val="28"/>
          <w:szCs w:val="28"/>
        </w:rPr>
        <w:t>-Article 3</w:t>
      </w:r>
    </w:p>
    <w:p w:rsidR="00885875" w:rsidRPr="00885875" w:rsidRDefault="00885875" w:rsidP="00885875">
      <w:pPr>
        <w:rPr>
          <w:sz w:val="24"/>
          <w:szCs w:val="24"/>
        </w:rPr>
      </w:pPr>
      <w:r w:rsidRPr="00885875">
        <w:rPr>
          <w:sz w:val="24"/>
          <w:szCs w:val="24"/>
        </w:rPr>
        <w:t>Tout véhicule engager sur le rallye des Pionniers  doit être en capacité de parcourir sans ravitaillement la plus longue étape prévue durant l’épreuve.</w:t>
      </w:r>
    </w:p>
    <w:p w:rsidR="00885875" w:rsidRPr="00885875" w:rsidRDefault="00885875" w:rsidP="00885875">
      <w:pPr>
        <w:rPr>
          <w:sz w:val="24"/>
          <w:szCs w:val="24"/>
        </w:rPr>
      </w:pPr>
      <w:r w:rsidRPr="00885875">
        <w:rPr>
          <w:sz w:val="24"/>
          <w:szCs w:val="24"/>
        </w:rPr>
        <w:t xml:space="preserve"> Tout  type de réservoir doi</w:t>
      </w:r>
      <w:r w:rsidR="002B1DEE">
        <w:rPr>
          <w:sz w:val="24"/>
          <w:szCs w:val="24"/>
        </w:rPr>
        <w:t>vent</w:t>
      </w:r>
      <w:r w:rsidRPr="00885875">
        <w:rPr>
          <w:sz w:val="24"/>
          <w:szCs w:val="24"/>
        </w:rPr>
        <w:t xml:space="preserve"> être solidement fixé au véhicule et présenter une étanchéité parfaite notamment au niveau du bouchon de remplissage durant toute  la durée de l’épreuve. </w:t>
      </w:r>
    </w:p>
    <w:p w:rsidR="00885875" w:rsidRPr="00885875" w:rsidRDefault="00885875" w:rsidP="00885875">
      <w:pPr>
        <w:rPr>
          <w:color w:val="1F497D" w:themeColor="text2"/>
          <w:sz w:val="28"/>
          <w:szCs w:val="28"/>
        </w:rPr>
      </w:pPr>
      <w:r w:rsidRPr="00885875">
        <w:rPr>
          <w:color w:val="1F497D" w:themeColor="text2"/>
          <w:sz w:val="28"/>
          <w:szCs w:val="28"/>
        </w:rPr>
        <w:t>-Article 4</w:t>
      </w:r>
    </w:p>
    <w:p w:rsidR="00885875" w:rsidRPr="00885875" w:rsidRDefault="00885875" w:rsidP="00885875">
      <w:pPr>
        <w:rPr>
          <w:sz w:val="24"/>
          <w:szCs w:val="24"/>
        </w:rPr>
      </w:pPr>
      <w:r w:rsidRPr="00885875">
        <w:rPr>
          <w:sz w:val="24"/>
          <w:szCs w:val="24"/>
        </w:rPr>
        <w:t>Chaque véhicule doit obligatoirement munie de :</w:t>
      </w:r>
    </w:p>
    <w:p w:rsidR="00885875" w:rsidRPr="00885875" w:rsidRDefault="00885875" w:rsidP="00885875">
      <w:pPr>
        <w:rPr>
          <w:sz w:val="24"/>
          <w:szCs w:val="24"/>
        </w:rPr>
      </w:pPr>
      <w:r w:rsidRPr="00885875">
        <w:rPr>
          <w:sz w:val="24"/>
          <w:szCs w:val="24"/>
        </w:rPr>
        <w:t>-un triangle de signalisation ainsi que 2 gilets fluorescents jaunes.</w:t>
      </w:r>
    </w:p>
    <w:p w:rsidR="00885875" w:rsidRPr="00885875" w:rsidRDefault="00885875" w:rsidP="00885875">
      <w:pPr>
        <w:rPr>
          <w:sz w:val="24"/>
          <w:szCs w:val="24"/>
        </w:rPr>
      </w:pPr>
      <w:r w:rsidRPr="00885875">
        <w:rPr>
          <w:sz w:val="24"/>
          <w:szCs w:val="24"/>
        </w:rPr>
        <w:t>-Deux deux roues de secours.</w:t>
      </w:r>
    </w:p>
    <w:p w:rsidR="00885875" w:rsidRPr="00885875" w:rsidRDefault="00885875" w:rsidP="00885875">
      <w:pPr>
        <w:rPr>
          <w:sz w:val="24"/>
          <w:szCs w:val="24"/>
        </w:rPr>
      </w:pPr>
      <w:r w:rsidRPr="00885875">
        <w:rPr>
          <w:sz w:val="24"/>
          <w:szCs w:val="24"/>
        </w:rPr>
        <w:lastRenderedPageBreak/>
        <w:t>-d’outillage de base, d’un cric, câble de batterie.</w:t>
      </w:r>
    </w:p>
    <w:p w:rsidR="00885875" w:rsidRPr="00885875" w:rsidRDefault="00885875" w:rsidP="00885875">
      <w:pPr>
        <w:rPr>
          <w:sz w:val="24"/>
          <w:szCs w:val="24"/>
        </w:rPr>
      </w:pPr>
      <w:r w:rsidRPr="00885875">
        <w:rPr>
          <w:sz w:val="24"/>
          <w:szCs w:val="24"/>
        </w:rPr>
        <w:t>- Deux plaques de désensablage et pelle</w:t>
      </w:r>
      <w:r w:rsidR="002B1DEE">
        <w:rPr>
          <w:sz w:val="24"/>
          <w:szCs w:val="24"/>
        </w:rPr>
        <w:t>s</w:t>
      </w:r>
      <w:r w:rsidRPr="00885875">
        <w:rPr>
          <w:sz w:val="24"/>
          <w:szCs w:val="24"/>
        </w:rPr>
        <w:t>, d’une sangle de remorquage adapté au poids du véhicule.</w:t>
      </w:r>
    </w:p>
    <w:p w:rsidR="00885875" w:rsidRPr="00885875" w:rsidRDefault="00885875" w:rsidP="00885875">
      <w:pPr>
        <w:rPr>
          <w:sz w:val="24"/>
          <w:szCs w:val="24"/>
        </w:rPr>
      </w:pPr>
      <w:r w:rsidRPr="00885875">
        <w:rPr>
          <w:sz w:val="24"/>
          <w:szCs w:val="24"/>
        </w:rPr>
        <w:t>- Tente et sac de couchage, d’une réserve d’eau suffisante pour 2 personnes.</w:t>
      </w:r>
    </w:p>
    <w:p w:rsidR="00D15567" w:rsidRDefault="00885875" w:rsidP="00885875">
      <w:pPr>
        <w:rPr>
          <w:sz w:val="24"/>
          <w:szCs w:val="24"/>
        </w:rPr>
      </w:pPr>
      <w:r w:rsidRPr="00885875">
        <w:rPr>
          <w:sz w:val="24"/>
          <w:szCs w:val="24"/>
        </w:rPr>
        <w:t>- Un GPS et odomètre (</w:t>
      </w:r>
      <w:proofErr w:type="spellStart"/>
      <w:r w:rsidRPr="00885875">
        <w:rPr>
          <w:sz w:val="24"/>
          <w:szCs w:val="24"/>
        </w:rPr>
        <w:t>Terratrip</w:t>
      </w:r>
      <w:proofErr w:type="spellEnd"/>
      <w:r w:rsidRPr="00885875">
        <w:rPr>
          <w:sz w:val="24"/>
          <w:szCs w:val="24"/>
        </w:rPr>
        <w:t>) chronomètre et une carte du Maroc.</w:t>
      </w:r>
    </w:p>
    <w:p w:rsidR="00885875" w:rsidRDefault="00885875" w:rsidP="00885875">
      <w:pPr>
        <w:rPr>
          <w:sz w:val="24"/>
          <w:szCs w:val="24"/>
        </w:rPr>
      </w:pPr>
    </w:p>
    <w:p w:rsidR="00F868FE" w:rsidRDefault="00F868FE" w:rsidP="00885875">
      <w:pPr>
        <w:rPr>
          <w:sz w:val="24"/>
          <w:szCs w:val="24"/>
        </w:rPr>
      </w:pPr>
    </w:p>
    <w:p w:rsidR="00F868FE" w:rsidRPr="00552746" w:rsidRDefault="00552746" w:rsidP="00885875">
      <w:pPr>
        <w:rPr>
          <w:color w:val="1F497D" w:themeColor="text2"/>
          <w:sz w:val="28"/>
          <w:szCs w:val="28"/>
        </w:rPr>
      </w:pPr>
      <w:r w:rsidRPr="00552746">
        <w:rPr>
          <w:color w:val="1F497D" w:themeColor="text2"/>
          <w:sz w:val="28"/>
          <w:szCs w:val="28"/>
        </w:rPr>
        <w:t>-Récapitulatif.</w:t>
      </w:r>
    </w:p>
    <w:p w:rsidR="00F868FE" w:rsidRDefault="00F868FE" w:rsidP="00885875">
      <w:pPr>
        <w:rPr>
          <w:sz w:val="24"/>
          <w:szCs w:val="24"/>
        </w:rPr>
      </w:pPr>
    </w:p>
    <w:tbl>
      <w:tblPr>
        <w:tblStyle w:val="TableGrid"/>
        <w:tblW w:w="0" w:type="auto"/>
        <w:jc w:val="center"/>
        <w:tblLook w:val="04A0" w:firstRow="1" w:lastRow="0" w:firstColumn="1" w:lastColumn="0" w:noHBand="0" w:noVBand="1"/>
      </w:tblPr>
      <w:tblGrid>
        <w:gridCol w:w="3071"/>
        <w:gridCol w:w="2282"/>
        <w:gridCol w:w="2126"/>
      </w:tblGrid>
      <w:tr w:rsidR="00450F5B" w:rsidRPr="00450F5B" w:rsidTr="008759B9">
        <w:trPr>
          <w:jc w:val="center"/>
        </w:trPr>
        <w:tc>
          <w:tcPr>
            <w:tcW w:w="3071" w:type="dxa"/>
          </w:tcPr>
          <w:p w:rsidR="00450F5B" w:rsidRPr="006E6533" w:rsidRDefault="00450F5B" w:rsidP="00450F5B">
            <w:pPr>
              <w:jc w:val="center"/>
              <w:rPr>
                <w:sz w:val="24"/>
                <w:szCs w:val="24"/>
              </w:rPr>
            </w:pPr>
            <w:r w:rsidRPr="006E6533">
              <w:rPr>
                <w:sz w:val="24"/>
                <w:szCs w:val="24"/>
              </w:rPr>
              <w:t>Éléments FIA homologué</w:t>
            </w:r>
            <w:r w:rsidR="006E6533" w:rsidRPr="006E6533">
              <w:rPr>
                <w:sz w:val="24"/>
                <w:szCs w:val="24"/>
              </w:rPr>
              <w:t>s</w:t>
            </w:r>
            <w:r w:rsidRPr="006E6533">
              <w:rPr>
                <w:sz w:val="24"/>
                <w:szCs w:val="24"/>
              </w:rPr>
              <w:t xml:space="preserve"> ou l’ayant été.</w:t>
            </w:r>
          </w:p>
        </w:tc>
        <w:tc>
          <w:tcPr>
            <w:tcW w:w="2282" w:type="dxa"/>
          </w:tcPr>
          <w:p w:rsidR="00450F5B" w:rsidRPr="00450F5B" w:rsidRDefault="00450F5B" w:rsidP="00450F5B">
            <w:pPr>
              <w:jc w:val="center"/>
              <w:rPr>
                <w:sz w:val="28"/>
                <w:szCs w:val="28"/>
              </w:rPr>
            </w:pPr>
            <w:r w:rsidRPr="00450F5B">
              <w:rPr>
                <w:sz w:val="28"/>
                <w:szCs w:val="28"/>
              </w:rPr>
              <w:t>O</w:t>
            </w:r>
            <w:r>
              <w:rPr>
                <w:sz w:val="28"/>
                <w:szCs w:val="28"/>
              </w:rPr>
              <w:t>bligatoire</w:t>
            </w:r>
          </w:p>
        </w:tc>
        <w:tc>
          <w:tcPr>
            <w:tcW w:w="2126" w:type="dxa"/>
          </w:tcPr>
          <w:p w:rsidR="00450F5B" w:rsidRPr="00450F5B" w:rsidRDefault="00450F5B" w:rsidP="00450F5B">
            <w:pPr>
              <w:jc w:val="center"/>
              <w:rPr>
                <w:sz w:val="28"/>
                <w:szCs w:val="28"/>
              </w:rPr>
            </w:pPr>
            <w:r w:rsidRPr="00450F5B">
              <w:rPr>
                <w:sz w:val="28"/>
                <w:szCs w:val="28"/>
              </w:rPr>
              <w:t>Fortement recommander</w:t>
            </w: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 xml:space="preserve">Arceau </w:t>
            </w:r>
            <w:r w:rsidR="009F3E29">
              <w:rPr>
                <w:sz w:val="24"/>
                <w:szCs w:val="24"/>
              </w:rPr>
              <w:t>4/</w:t>
            </w:r>
            <w:r>
              <w:rPr>
                <w:sz w:val="24"/>
                <w:szCs w:val="24"/>
              </w:rPr>
              <w:t>6 points</w:t>
            </w:r>
          </w:p>
        </w:tc>
        <w:tc>
          <w:tcPr>
            <w:tcW w:w="2282" w:type="dxa"/>
          </w:tcPr>
          <w:p w:rsidR="00450F5B" w:rsidRPr="00450F5B" w:rsidRDefault="00804E7D" w:rsidP="008759B9">
            <w:pPr>
              <w:jc w:val="center"/>
              <w:rPr>
                <w:sz w:val="24"/>
                <w:szCs w:val="24"/>
              </w:rPr>
            </w:pPr>
            <w:r>
              <w:rPr>
                <w:sz w:val="24"/>
                <w:szCs w:val="24"/>
              </w:rPr>
              <w:t>X</w:t>
            </w:r>
          </w:p>
        </w:tc>
        <w:tc>
          <w:tcPr>
            <w:tcW w:w="2126" w:type="dxa"/>
          </w:tcPr>
          <w:p w:rsidR="00450F5B" w:rsidRPr="00450F5B" w:rsidRDefault="00450F5B" w:rsidP="008759B9">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Sièges baquets ou semi.</w:t>
            </w:r>
          </w:p>
        </w:tc>
        <w:tc>
          <w:tcPr>
            <w:tcW w:w="2282" w:type="dxa"/>
          </w:tcPr>
          <w:p w:rsidR="00450F5B" w:rsidRPr="00450F5B" w:rsidRDefault="00804E7D" w:rsidP="008759B9">
            <w:pPr>
              <w:jc w:val="center"/>
              <w:rPr>
                <w:sz w:val="24"/>
                <w:szCs w:val="24"/>
              </w:rPr>
            </w:pPr>
            <w:r>
              <w:rPr>
                <w:sz w:val="24"/>
                <w:szCs w:val="24"/>
              </w:rPr>
              <w:t>X</w:t>
            </w:r>
          </w:p>
        </w:tc>
        <w:tc>
          <w:tcPr>
            <w:tcW w:w="2126" w:type="dxa"/>
          </w:tcPr>
          <w:p w:rsidR="00450F5B" w:rsidRPr="00450F5B" w:rsidRDefault="00450F5B" w:rsidP="008759B9">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 xml:space="preserve">Harnais a </w:t>
            </w:r>
            <w:proofErr w:type="spellStart"/>
            <w:r>
              <w:rPr>
                <w:sz w:val="24"/>
                <w:szCs w:val="24"/>
              </w:rPr>
              <w:t>bo</w:t>
            </w:r>
            <w:bookmarkStart w:id="0" w:name="_GoBack"/>
            <w:bookmarkEnd w:id="0"/>
            <w:r>
              <w:rPr>
                <w:sz w:val="24"/>
                <w:szCs w:val="24"/>
              </w:rPr>
              <w:t>ucle</w:t>
            </w:r>
            <w:proofErr w:type="spellEnd"/>
            <w:r>
              <w:rPr>
                <w:sz w:val="24"/>
                <w:szCs w:val="24"/>
              </w:rPr>
              <w:t xml:space="preserve"> aviation</w:t>
            </w:r>
          </w:p>
        </w:tc>
        <w:tc>
          <w:tcPr>
            <w:tcW w:w="2282" w:type="dxa"/>
          </w:tcPr>
          <w:p w:rsidR="00450F5B" w:rsidRPr="00450F5B" w:rsidRDefault="00804E7D" w:rsidP="008759B9">
            <w:pPr>
              <w:jc w:val="center"/>
              <w:rPr>
                <w:sz w:val="24"/>
                <w:szCs w:val="24"/>
              </w:rPr>
            </w:pPr>
            <w:r>
              <w:rPr>
                <w:sz w:val="24"/>
                <w:szCs w:val="24"/>
              </w:rPr>
              <w:t>X</w:t>
            </w:r>
          </w:p>
        </w:tc>
        <w:tc>
          <w:tcPr>
            <w:tcW w:w="2126" w:type="dxa"/>
          </w:tcPr>
          <w:p w:rsidR="00450F5B" w:rsidRPr="00450F5B" w:rsidRDefault="00450F5B" w:rsidP="008759B9">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Extincteurs 2 x 2kg</w:t>
            </w:r>
          </w:p>
        </w:tc>
        <w:tc>
          <w:tcPr>
            <w:tcW w:w="2282" w:type="dxa"/>
          </w:tcPr>
          <w:p w:rsidR="00450F5B" w:rsidRPr="00450F5B" w:rsidRDefault="00804E7D" w:rsidP="008759B9">
            <w:pPr>
              <w:jc w:val="center"/>
              <w:rPr>
                <w:sz w:val="24"/>
                <w:szCs w:val="24"/>
              </w:rPr>
            </w:pPr>
            <w:r>
              <w:rPr>
                <w:sz w:val="24"/>
                <w:szCs w:val="24"/>
              </w:rPr>
              <w:t>X</w:t>
            </w:r>
          </w:p>
        </w:tc>
        <w:tc>
          <w:tcPr>
            <w:tcW w:w="2126" w:type="dxa"/>
          </w:tcPr>
          <w:p w:rsidR="00450F5B" w:rsidRPr="00450F5B" w:rsidRDefault="00450F5B" w:rsidP="008759B9">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Casque</w:t>
            </w:r>
          </w:p>
        </w:tc>
        <w:tc>
          <w:tcPr>
            <w:tcW w:w="2282" w:type="dxa"/>
          </w:tcPr>
          <w:p w:rsidR="00450F5B" w:rsidRPr="00450F5B" w:rsidRDefault="00804E7D" w:rsidP="008759B9">
            <w:pPr>
              <w:jc w:val="center"/>
              <w:rPr>
                <w:sz w:val="24"/>
                <w:szCs w:val="24"/>
              </w:rPr>
            </w:pPr>
            <w:r>
              <w:rPr>
                <w:sz w:val="24"/>
                <w:szCs w:val="24"/>
              </w:rPr>
              <w:t>X</w:t>
            </w:r>
          </w:p>
        </w:tc>
        <w:tc>
          <w:tcPr>
            <w:tcW w:w="2126" w:type="dxa"/>
          </w:tcPr>
          <w:p w:rsidR="00450F5B" w:rsidRPr="00450F5B" w:rsidRDefault="00450F5B" w:rsidP="008759B9">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Combinaison</w:t>
            </w:r>
          </w:p>
        </w:tc>
        <w:tc>
          <w:tcPr>
            <w:tcW w:w="2282" w:type="dxa"/>
          </w:tcPr>
          <w:p w:rsidR="00450F5B" w:rsidRPr="00450F5B" w:rsidRDefault="00450F5B" w:rsidP="008759B9">
            <w:pPr>
              <w:jc w:val="center"/>
              <w:rPr>
                <w:sz w:val="24"/>
                <w:szCs w:val="24"/>
              </w:rPr>
            </w:pPr>
          </w:p>
        </w:tc>
        <w:tc>
          <w:tcPr>
            <w:tcW w:w="2126" w:type="dxa"/>
          </w:tcPr>
          <w:p w:rsidR="00450F5B" w:rsidRPr="00450F5B" w:rsidRDefault="00804E7D" w:rsidP="008759B9">
            <w:pPr>
              <w:jc w:val="center"/>
              <w:rPr>
                <w:sz w:val="24"/>
                <w:szCs w:val="24"/>
              </w:rPr>
            </w:pPr>
            <w:r>
              <w:rPr>
                <w:sz w:val="24"/>
                <w:szCs w:val="24"/>
              </w:rPr>
              <w:t>X</w:t>
            </w: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Système Hans</w:t>
            </w:r>
            <w:r w:rsidR="009F3E29">
              <w:rPr>
                <w:sz w:val="24"/>
                <w:szCs w:val="24"/>
              </w:rPr>
              <w:t>/ minerve</w:t>
            </w:r>
          </w:p>
        </w:tc>
        <w:tc>
          <w:tcPr>
            <w:tcW w:w="2282" w:type="dxa"/>
          </w:tcPr>
          <w:p w:rsidR="00450F5B" w:rsidRPr="00450F5B" w:rsidRDefault="00450F5B" w:rsidP="008759B9">
            <w:pPr>
              <w:jc w:val="center"/>
              <w:rPr>
                <w:sz w:val="24"/>
                <w:szCs w:val="24"/>
              </w:rPr>
            </w:pPr>
          </w:p>
        </w:tc>
        <w:tc>
          <w:tcPr>
            <w:tcW w:w="2126" w:type="dxa"/>
          </w:tcPr>
          <w:p w:rsidR="00450F5B" w:rsidRPr="00450F5B" w:rsidRDefault="00804E7D" w:rsidP="008759B9">
            <w:pPr>
              <w:jc w:val="center"/>
              <w:rPr>
                <w:sz w:val="24"/>
                <w:szCs w:val="24"/>
              </w:rPr>
            </w:pPr>
            <w:r>
              <w:rPr>
                <w:sz w:val="24"/>
                <w:szCs w:val="24"/>
              </w:rPr>
              <w:t>X</w:t>
            </w:r>
          </w:p>
        </w:tc>
      </w:tr>
      <w:tr w:rsidR="00450F5B" w:rsidRPr="00450F5B" w:rsidTr="008759B9">
        <w:trPr>
          <w:jc w:val="center"/>
        </w:trPr>
        <w:tc>
          <w:tcPr>
            <w:tcW w:w="3071" w:type="dxa"/>
            <w:tcBorders>
              <w:bottom w:val="single" w:sz="4" w:space="0" w:color="auto"/>
            </w:tcBorders>
          </w:tcPr>
          <w:p w:rsidR="00450F5B" w:rsidRPr="00450F5B" w:rsidRDefault="00804E7D" w:rsidP="00885875">
            <w:pPr>
              <w:rPr>
                <w:sz w:val="24"/>
                <w:szCs w:val="24"/>
              </w:rPr>
            </w:pPr>
            <w:r>
              <w:rPr>
                <w:sz w:val="24"/>
                <w:szCs w:val="24"/>
              </w:rPr>
              <w:t xml:space="preserve">Réservoir supplémentaire  </w:t>
            </w:r>
          </w:p>
        </w:tc>
        <w:tc>
          <w:tcPr>
            <w:tcW w:w="2282" w:type="dxa"/>
            <w:tcBorders>
              <w:bottom w:val="single" w:sz="4" w:space="0" w:color="auto"/>
            </w:tcBorders>
          </w:tcPr>
          <w:p w:rsidR="00450F5B" w:rsidRPr="00450F5B" w:rsidRDefault="00450F5B" w:rsidP="008759B9">
            <w:pPr>
              <w:jc w:val="center"/>
              <w:rPr>
                <w:sz w:val="24"/>
                <w:szCs w:val="24"/>
              </w:rPr>
            </w:pPr>
          </w:p>
        </w:tc>
        <w:tc>
          <w:tcPr>
            <w:tcW w:w="2126" w:type="dxa"/>
            <w:tcBorders>
              <w:bottom w:val="single" w:sz="4" w:space="0" w:color="auto"/>
            </w:tcBorders>
          </w:tcPr>
          <w:p w:rsidR="00450F5B" w:rsidRPr="00450F5B" w:rsidRDefault="00804E7D" w:rsidP="008759B9">
            <w:pPr>
              <w:jc w:val="center"/>
              <w:rPr>
                <w:sz w:val="24"/>
                <w:szCs w:val="24"/>
              </w:rPr>
            </w:pPr>
            <w:r>
              <w:rPr>
                <w:sz w:val="24"/>
                <w:szCs w:val="24"/>
              </w:rPr>
              <w:t>X</w:t>
            </w:r>
          </w:p>
        </w:tc>
      </w:tr>
      <w:tr w:rsidR="006C3ADE" w:rsidRPr="00450F5B" w:rsidTr="008759B9">
        <w:trPr>
          <w:jc w:val="center"/>
        </w:trPr>
        <w:tc>
          <w:tcPr>
            <w:tcW w:w="3071" w:type="dxa"/>
            <w:tcBorders>
              <w:bottom w:val="single" w:sz="4" w:space="0" w:color="auto"/>
            </w:tcBorders>
          </w:tcPr>
          <w:p w:rsidR="006C3ADE" w:rsidRDefault="006C3ADE">
            <w:r w:rsidRPr="00926DB7">
              <w:t>Coupe</w:t>
            </w:r>
            <w:r w:rsidR="00552746">
              <w:t>-</w:t>
            </w:r>
            <w:r w:rsidRPr="00926DB7">
              <w:t>circuit</w:t>
            </w:r>
          </w:p>
        </w:tc>
        <w:tc>
          <w:tcPr>
            <w:tcW w:w="2282" w:type="dxa"/>
            <w:tcBorders>
              <w:bottom w:val="single" w:sz="4" w:space="0" w:color="auto"/>
            </w:tcBorders>
          </w:tcPr>
          <w:p w:rsidR="006C3ADE" w:rsidRDefault="009F3E29" w:rsidP="006C3ADE">
            <w:pPr>
              <w:jc w:val="center"/>
            </w:pPr>
            <w:r>
              <w:t>x</w:t>
            </w:r>
          </w:p>
        </w:tc>
        <w:tc>
          <w:tcPr>
            <w:tcW w:w="2126" w:type="dxa"/>
            <w:tcBorders>
              <w:bottom w:val="single" w:sz="4" w:space="0" w:color="auto"/>
            </w:tcBorders>
          </w:tcPr>
          <w:p w:rsidR="006C3ADE" w:rsidRDefault="006C3ADE" w:rsidP="006C3ADE">
            <w:pPr>
              <w:jc w:val="center"/>
            </w:pPr>
          </w:p>
        </w:tc>
      </w:tr>
      <w:tr w:rsidR="00804E7D" w:rsidRPr="00450F5B" w:rsidTr="008759B9">
        <w:trPr>
          <w:jc w:val="center"/>
        </w:trPr>
        <w:tc>
          <w:tcPr>
            <w:tcW w:w="3071" w:type="dxa"/>
            <w:tcBorders>
              <w:right w:val="nil"/>
            </w:tcBorders>
          </w:tcPr>
          <w:p w:rsidR="00804E7D" w:rsidRDefault="00804E7D" w:rsidP="00885875">
            <w:pPr>
              <w:rPr>
                <w:sz w:val="24"/>
                <w:szCs w:val="24"/>
              </w:rPr>
            </w:pPr>
          </w:p>
        </w:tc>
        <w:tc>
          <w:tcPr>
            <w:tcW w:w="2282" w:type="dxa"/>
            <w:tcBorders>
              <w:left w:val="nil"/>
              <w:right w:val="nil"/>
            </w:tcBorders>
          </w:tcPr>
          <w:p w:rsidR="00804E7D" w:rsidRPr="00450F5B" w:rsidRDefault="00804E7D" w:rsidP="006C3ADE">
            <w:pPr>
              <w:jc w:val="center"/>
              <w:rPr>
                <w:sz w:val="24"/>
                <w:szCs w:val="24"/>
              </w:rPr>
            </w:pPr>
          </w:p>
        </w:tc>
        <w:tc>
          <w:tcPr>
            <w:tcW w:w="2126" w:type="dxa"/>
            <w:tcBorders>
              <w:left w:val="nil"/>
            </w:tcBorders>
          </w:tcPr>
          <w:p w:rsidR="00804E7D" w:rsidRDefault="00804E7D" w:rsidP="006C3ADE">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Réservoir d’eau 10litres</w:t>
            </w:r>
          </w:p>
        </w:tc>
        <w:tc>
          <w:tcPr>
            <w:tcW w:w="2282" w:type="dxa"/>
          </w:tcPr>
          <w:p w:rsidR="00450F5B" w:rsidRPr="00450F5B" w:rsidRDefault="00804E7D"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r w:rsidR="00450F5B" w:rsidRPr="00450F5B" w:rsidTr="008759B9">
        <w:trPr>
          <w:jc w:val="center"/>
        </w:trPr>
        <w:tc>
          <w:tcPr>
            <w:tcW w:w="3071" w:type="dxa"/>
          </w:tcPr>
          <w:p w:rsidR="00450F5B" w:rsidRPr="00450F5B" w:rsidRDefault="00804E7D" w:rsidP="00885875">
            <w:pPr>
              <w:rPr>
                <w:sz w:val="24"/>
                <w:szCs w:val="24"/>
              </w:rPr>
            </w:pPr>
            <w:r>
              <w:rPr>
                <w:sz w:val="24"/>
                <w:szCs w:val="24"/>
              </w:rPr>
              <w:t>Sangle de remorquage</w:t>
            </w:r>
          </w:p>
        </w:tc>
        <w:tc>
          <w:tcPr>
            <w:tcW w:w="2282" w:type="dxa"/>
          </w:tcPr>
          <w:p w:rsidR="00450F5B" w:rsidRPr="00450F5B" w:rsidRDefault="00804E7D"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r w:rsidR="00450F5B" w:rsidRPr="00450F5B" w:rsidTr="008759B9">
        <w:trPr>
          <w:trHeight w:val="70"/>
          <w:jc w:val="center"/>
        </w:trPr>
        <w:tc>
          <w:tcPr>
            <w:tcW w:w="3071" w:type="dxa"/>
          </w:tcPr>
          <w:p w:rsidR="00450F5B" w:rsidRPr="00450F5B" w:rsidRDefault="00804E7D" w:rsidP="00885875">
            <w:pPr>
              <w:rPr>
                <w:sz w:val="24"/>
                <w:szCs w:val="24"/>
              </w:rPr>
            </w:pPr>
            <w:r>
              <w:rPr>
                <w:sz w:val="24"/>
                <w:szCs w:val="24"/>
              </w:rPr>
              <w:t>Plaques et pelles</w:t>
            </w:r>
          </w:p>
        </w:tc>
        <w:tc>
          <w:tcPr>
            <w:tcW w:w="2282" w:type="dxa"/>
          </w:tcPr>
          <w:p w:rsidR="00450F5B" w:rsidRPr="00450F5B" w:rsidRDefault="00804E7D"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r w:rsidR="00450F5B" w:rsidRPr="00450F5B" w:rsidTr="008759B9">
        <w:trPr>
          <w:jc w:val="center"/>
        </w:trPr>
        <w:tc>
          <w:tcPr>
            <w:tcW w:w="3071" w:type="dxa"/>
          </w:tcPr>
          <w:p w:rsidR="00450F5B" w:rsidRPr="00450F5B" w:rsidRDefault="008759B9" w:rsidP="00885875">
            <w:pPr>
              <w:rPr>
                <w:sz w:val="24"/>
                <w:szCs w:val="24"/>
              </w:rPr>
            </w:pPr>
            <w:r>
              <w:rPr>
                <w:sz w:val="24"/>
                <w:szCs w:val="24"/>
              </w:rPr>
              <w:t>Tente et sac de couchage</w:t>
            </w:r>
          </w:p>
        </w:tc>
        <w:tc>
          <w:tcPr>
            <w:tcW w:w="2282" w:type="dxa"/>
          </w:tcPr>
          <w:p w:rsidR="00450F5B" w:rsidRPr="00450F5B" w:rsidRDefault="008759B9"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r w:rsidR="00450F5B" w:rsidRPr="00450F5B" w:rsidTr="008759B9">
        <w:trPr>
          <w:jc w:val="center"/>
        </w:trPr>
        <w:tc>
          <w:tcPr>
            <w:tcW w:w="3071" w:type="dxa"/>
          </w:tcPr>
          <w:p w:rsidR="008759B9" w:rsidRPr="00450F5B" w:rsidRDefault="008759B9" w:rsidP="00885875">
            <w:pPr>
              <w:rPr>
                <w:sz w:val="24"/>
                <w:szCs w:val="24"/>
              </w:rPr>
            </w:pPr>
            <w:r w:rsidRPr="008759B9">
              <w:rPr>
                <w:sz w:val="24"/>
                <w:szCs w:val="24"/>
              </w:rPr>
              <w:t>GPS et odomètre</w:t>
            </w:r>
          </w:p>
        </w:tc>
        <w:tc>
          <w:tcPr>
            <w:tcW w:w="2282" w:type="dxa"/>
          </w:tcPr>
          <w:p w:rsidR="00450F5B" w:rsidRPr="00450F5B" w:rsidRDefault="008759B9"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r w:rsidR="00450F5B" w:rsidRPr="00450F5B" w:rsidTr="008759B9">
        <w:trPr>
          <w:jc w:val="center"/>
        </w:trPr>
        <w:tc>
          <w:tcPr>
            <w:tcW w:w="3071" w:type="dxa"/>
          </w:tcPr>
          <w:p w:rsidR="00450F5B" w:rsidRPr="00450F5B" w:rsidRDefault="008759B9" w:rsidP="00885875">
            <w:pPr>
              <w:rPr>
                <w:sz w:val="24"/>
                <w:szCs w:val="24"/>
              </w:rPr>
            </w:pPr>
            <w:r>
              <w:rPr>
                <w:sz w:val="24"/>
                <w:szCs w:val="24"/>
              </w:rPr>
              <w:t>roues de secours  x2</w:t>
            </w:r>
          </w:p>
        </w:tc>
        <w:tc>
          <w:tcPr>
            <w:tcW w:w="2282" w:type="dxa"/>
          </w:tcPr>
          <w:p w:rsidR="00450F5B" w:rsidRPr="00450F5B" w:rsidRDefault="008759B9"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r w:rsidR="00450F5B" w:rsidRPr="00450F5B" w:rsidTr="008759B9">
        <w:trPr>
          <w:jc w:val="center"/>
        </w:trPr>
        <w:tc>
          <w:tcPr>
            <w:tcW w:w="3071" w:type="dxa"/>
          </w:tcPr>
          <w:p w:rsidR="00450F5B" w:rsidRPr="00450F5B" w:rsidRDefault="006C3ADE" w:rsidP="00885875">
            <w:pPr>
              <w:rPr>
                <w:sz w:val="24"/>
                <w:szCs w:val="24"/>
              </w:rPr>
            </w:pPr>
            <w:r w:rsidRPr="006C3ADE">
              <w:rPr>
                <w:sz w:val="24"/>
                <w:szCs w:val="24"/>
              </w:rPr>
              <w:t>outillage de base</w:t>
            </w:r>
          </w:p>
        </w:tc>
        <w:tc>
          <w:tcPr>
            <w:tcW w:w="2282" w:type="dxa"/>
          </w:tcPr>
          <w:p w:rsidR="00450F5B" w:rsidRPr="00450F5B" w:rsidRDefault="006C3ADE" w:rsidP="006C3ADE">
            <w:pPr>
              <w:jc w:val="center"/>
              <w:rPr>
                <w:sz w:val="24"/>
                <w:szCs w:val="24"/>
              </w:rPr>
            </w:pPr>
            <w:r>
              <w:rPr>
                <w:sz w:val="24"/>
                <w:szCs w:val="24"/>
              </w:rPr>
              <w:t>X</w:t>
            </w:r>
          </w:p>
        </w:tc>
        <w:tc>
          <w:tcPr>
            <w:tcW w:w="2126" w:type="dxa"/>
          </w:tcPr>
          <w:p w:rsidR="00450F5B" w:rsidRPr="00450F5B" w:rsidRDefault="00450F5B" w:rsidP="006C3ADE">
            <w:pPr>
              <w:jc w:val="center"/>
              <w:rPr>
                <w:sz w:val="24"/>
                <w:szCs w:val="24"/>
              </w:rPr>
            </w:pPr>
          </w:p>
        </w:tc>
      </w:tr>
    </w:tbl>
    <w:p w:rsidR="00450F5B" w:rsidRPr="00450F5B" w:rsidRDefault="00450F5B" w:rsidP="00885875">
      <w:pPr>
        <w:rPr>
          <w:b/>
          <w:sz w:val="24"/>
          <w:szCs w:val="24"/>
        </w:rPr>
      </w:pPr>
    </w:p>
    <w:sectPr w:rsidR="00450F5B" w:rsidRPr="00450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5FF" w:usb2="0A24602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875"/>
    <w:rsid w:val="0011153F"/>
    <w:rsid w:val="002927AB"/>
    <w:rsid w:val="002B1DEE"/>
    <w:rsid w:val="00450F5B"/>
    <w:rsid w:val="00552746"/>
    <w:rsid w:val="006C3ADE"/>
    <w:rsid w:val="006E6533"/>
    <w:rsid w:val="00804E7D"/>
    <w:rsid w:val="008759B9"/>
    <w:rsid w:val="00885875"/>
    <w:rsid w:val="008F697F"/>
    <w:rsid w:val="009F3E29"/>
    <w:rsid w:val="00D15567"/>
    <w:rsid w:val="00F86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C667"/>
  <w15:docId w15:val="{BA656BA7-10F0-437F-855F-C4A4331E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Pascal Francois</cp:lastModifiedBy>
  <cp:revision>5</cp:revision>
  <cp:lastPrinted>2020-05-11T21:34:00Z</cp:lastPrinted>
  <dcterms:created xsi:type="dcterms:W3CDTF">2020-05-11T21:34:00Z</dcterms:created>
  <dcterms:modified xsi:type="dcterms:W3CDTF">2020-05-17T08:04:00Z</dcterms:modified>
</cp:coreProperties>
</file>